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CDF" w:rsidRDefault="00CB3CDF" w:rsidP="00CB3CDF">
      <w:pPr>
        <w:spacing w:line="480" w:lineRule="auto"/>
        <w:jc w:val="center"/>
      </w:pPr>
      <w:bookmarkStart w:id="0" w:name="_GoBack"/>
      <w:bookmarkEnd w:id="0"/>
    </w:p>
    <w:p w:rsidR="00CB3CDF" w:rsidRDefault="00CB3CDF" w:rsidP="00CB3CDF">
      <w:pPr>
        <w:spacing w:line="480" w:lineRule="auto"/>
        <w:jc w:val="center"/>
      </w:pPr>
    </w:p>
    <w:p w:rsidR="00CB3CDF" w:rsidRDefault="00CB3CDF" w:rsidP="00CB3CDF">
      <w:pPr>
        <w:spacing w:line="480" w:lineRule="auto"/>
        <w:jc w:val="center"/>
      </w:pPr>
    </w:p>
    <w:p w:rsidR="00CB3CDF" w:rsidRDefault="00CB3CDF" w:rsidP="00CB3CDF">
      <w:pPr>
        <w:spacing w:line="480" w:lineRule="auto"/>
        <w:jc w:val="center"/>
      </w:pPr>
    </w:p>
    <w:p w:rsidR="00CB3CDF" w:rsidRDefault="00CB3CDF" w:rsidP="00CB3CDF">
      <w:pPr>
        <w:spacing w:line="480" w:lineRule="auto"/>
        <w:jc w:val="center"/>
      </w:pPr>
    </w:p>
    <w:p w:rsidR="00CB3CDF" w:rsidRPr="00CB3CDF" w:rsidRDefault="00CB3CDF" w:rsidP="00CB3CDF">
      <w:pPr>
        <w:spacing w:line="480" w:lineRule="auto"/>
        <w:jc w:val="center"/>
      </w:pPr>
      <w:r w:rsidRPr="00CB3CDF">
        <w:t>Legal Case Brief</w:t>
      </w:r>
    </w:p>
    <w:p w:rsidR="00CB3CDF" w:rsidRPr="00CB3CDF" w:rsidRDefault="00CB3CDF" w:rsidP="00CB3CDF">
      <w:pPr>
        <w:spacing w:line="480" w:lineRule="auto"/>
        <w:jc w:val="center"/>
      </w:pPr>
      <w:r w:rsidRPr="00CB3CDF">
        <w:t>Name</w:t>
      </w:r>
    </w:p>
    <w:p w:rsidR="00CB3CDF" w:rsidRPr="00CB3CDF" w:rsidRDefault="00CB3CDF" w:rsidP="00CB3CDF">
      <w:pPr>
        <w:spacing w:line="480" w:lineRule="auto"/>
        <w:jc w:val="center"/>
      </w:pPr>
      <w:r w:rsidRPr="00CB3CDF">
        <w:t>Institutional Affiliation</w:t>
      </w:r>
    </w:p>
    <w:p w:rsidR="00CB3CDF" w:rsidRDefault="00CB3CDF">
      <w:r>
        <w:br w:type="page"/>
      </w:r>
    </w:p>
    <w:p w:rsidR="00CB3CDF" w:rsidRPr="00CB3CDF" w:rsidRDefault="00CB3CDF" w:rsidP="00CB3CDF">
      <w:pPr>
        <w:spacing w:line="480" w:lineRule="auto"/>
        <w:jc w:val="center"/>
      </w:pPr>
      <w:r w:rsidRPr="00CB3CDF">
        <w:lastRenderedPageBreak/>
        <w:t>Legal Case Brief</w:t>
      </w:r>
    </w:p>
    <w:p w:rsidR="00CB3CDF" w:rsidRDefault="00F500BC" w:rsidP="00CB3CDF">
      <w:pPr>
        <w:spacing w:line="480" w:lineRule="auto"/>
      </w:pPr>
      <w:r w:rsidRPr="00CB3CDF">
        <w:rPr>
          <w:b/>
        </w:rPr>
        <w:t>Citation</w:t>
      </w:r>
    </w:p>
    <w:p w:rsidR="007F640B" w:rsidRDefault="007F640B" w:rsidP="00CB3CDF">
      <w:pPr>
        <w:spacing w:line="480" w:lineRule="auto"/>
      </w:pPr>
      <w:proofErr w:type="spellStart"/>
      <w:r w:rsidRPr="007F640B">
        <w:t>Garrity</w:t>
      </w:r>
      <w:proofErr w:type="spellEnd"/>
      <w:r w:rsidRPr="007F640B">
        <w:t xml:space="preserve"> v. N.J., 385 U.S. 493, 87 S. Ct. 616, 17 L. Ed. 2d 562, 1967 U.S. LEXIS 2882 (U.S. Jan. 16, 1967)</w:t>
      </w:r>
    </w:p>
    <w:p w:rsidR="007F640B" w:rsidRDefault="007F640B" w:rsidP="00CB3CDF">
      <w:pPr>
        <w:spacing w:line="480" w:lineRule="auto"/>
      </w:pPr>
      <w:r>
        <w:t xml:space="preserve">Plaintiff: </w:t>
      </w:r>
      <w:proofErr w:type="spellStart"/>
      <w:r>
        <w:t>Garrity</w:t>
      </w:r>
      <w:proofErr w:type="spellEnd"/>
    </w:p>
    <w:p w:rsidR="001D03F7" w:rsidRPr="00CB3CDF" w:rsidRDefault="007F640B" w:rsidP="00CB3CDF">
      <w:pPr>
        <w:spacing w:line="480" w:lineRule="auto"/>
      </w:pPr>
      <w:r>
        <w:t>Defendant: State of New Jersey</w:t>
      </w:r>
      <w:r w:rsidR="00B71E75" w:rsidRPr="00CB3CDF">
        <w:t xml:space="preserve">  </w:t>
      </w:r>
    </w:p>
    <w:p w:rsidR="00F500BC" w:rsidRPr="00CB3CDF" w:rsidRDefault="00F500BC" w:rsidP="00CB3CDF">
      <w:pPr>
        <w:spacing w:line="480" w:lineRule="auto"/>
        <w:rPr>
          <w:b/>
        </w:rPr>
      </w:pPr>
      <w:r w:rsidRPr="00CB3CDF">
        <w:rPr>
          <w:b/>
        </w:rPr>
        <w:t>Introduction</w:t>
      </w:r>
    </w:p>
    <w:p w:rsidR="00CB3CDF" w:rsidRDefault="00CB3CDF" w:rsidP="00CB3CDF">
      <w:pPr>
        <w:spacing w:line="480" w:lineRule="auto"/>
        <w:ind w:firstLine="720"/>
      </w:pPr>
      <w:r>
        <w:t xml:space="preserve">The case was brought before the U.S. supreme court regarding the right of state officials from self-incrimination. It was through this landmark case that gave rise to </w:t>
      </w:r>
      <w:proofErr w:type="spellStart"/>
      <w:r>
        <w:t>Garrity</w:t>
      </w:r>
      <w:proofErr w:type="spellEnd"/>
      <w:r>
        <w:t xml:space="preserve"> warning as well as Miranda warning. In this case, two police officers from new jersey were questioned regarding the fixing of traffic tickets. During the questioning they were informed that anything said might be used against them in court and that failure to talk would result in them being fired from the force. As a result, they gave answers which were later used in the conviction. Despite appealing at New Jersey state supreme court, the conviction was upheld upon arguments on coercion in threat of losing their jobs. The supreme court of the U.S. appealed the conviction and overturned the ruling citing coercion and violation of the fourteen amendment.</w:t>
      </w:r>
    </w:p>
    <w:p w:rsidR="00CB3CDF" w:rsidRPr="00CB3CDF" w:rsidRDefault="00CB3CDF" w:rsidP="00CB3CDF">
      <w:pPr>
        <w:spacing w:line="480" w:lineRule="auto"/>
        <w:rPr>
          <w:b/>
        </w:rPr>
      </w:pPr>
      <w:r w:rsidRPr="00CB3CDF">
        <w:rPr>
          <w:b/>
        </w:rPr>
        <w:t>Summary</w:t>
      </w:r>
    </w:p>
    <w:p w:rsidR="00CB3CDF" w:rsidRDefault="00CB3CDF" w:rsidP="00CB3CDF">
      <w:pPr>
        <w:spacing w:line="480" w:lineRule="auto"/>
        <w:ind w:firstLine="720"/>
      </w:pPr>
      <w:r>
        <w:t xml:space="preserve">In this case, the supreme court of the U.S. appealed the conviction on behave of the petitioner </w:t>
      </w:r>
      <w:proofErr w:type="spellStart"/>
      <w:r>
        <w:t>Garrity</w:t>
      </w:r>
      <w:proofErr w:type="spellEnd"/>
      <w:r>
        <w:t xml:space="preserve"> against the respondent State of New Jersey. The case involved two traffic officers under the state of New Jersey who was thought to be behind the fixing of traffic tickets. According to the U.S. Constitution and the fourteen amendment, all citizens including state </w:t>
      </w:r>
      <w:r>
        <w:lastRenderedPageBreak/>
        <w:t xml:space="preserve">officers have a right against self-incrimination. In the case, the two officers were brought for questioning, and three issues stated clearly before the process. First, the officers were informed that any statement they would make might be used against them in court. Secondly, they were entitled to remain silent during questioning if they felt that the statements might incriminate them. Lastly, any refusal to answer the question would be used for dismissal purposes. Upon the disclosure of these statements, the two officers resorted to answering questions from the prosecutors. These statements were used against the officers during prosecution proceedings and subsequently led to their convictions. Despite a plea from the officers that they were coerced to make these statements, the court gave a deaf hear and convicted the officers. Upon an appeal at New Jersey supreme court by the petitioners seeking the constitutionalism of the statute used to convict them, the court declined to give a stand on the issue. According to the forfeiture-of-office statute of the New Jersey state, all state officers are required to answer questions to any commission or body investigating their conduct regarding their jobs even if it is self-incriminating. The failure by the employee to provide answers to the commission shall see them lose their jobs. The appeal by the respondents was regarding the constitutionalism of such statute since it violated the fourteen amendment that guarded all the citizens against self-incrimination. When the appeal failed, and the officers saw their convictions upheld, the U.S. supreme court intervened to give a direction on the constitutionalism of such statute. The supreme court reversed the ruling citing the violation of the fourteen amendment. The court held that all coerced statements should not be used in any criminal proceedings. This landmark ruling protected all citizens including state officers. </w:t>
      </w:r>
    </w:p>
    <w:p w:rsidR="00CB3CDF" w:rsidRPr="00CB3CDF" w:rsidRDefault="00CB3CDF" w:rsidP="00CB3CDF">
      <w:pPr>
        <w:spacing w:line="480" w:lineRule="auto"/>
        <w:rPr>
          <w:b/>
        </w:rPr>
      </w:pPr>
      <w:r w:rsidRPr="00CB3CDF">
        <w:rPr>
          <w:b/>
        </w:rPr>
        <w:t>Majority Opinion</w:t>
      </w:r>
    </w:p>
    <w:p w:rsidR="00CB3CDF" w:rsidRDefault="00CB3CDF" w:rsidP="00CB3CDF">
      <w:pPr>
        <w:spacing w:line="480" w:lineRule="auto"/>
        <w:ind w:firstLine="720"/>
      </w:pPr>
      <w:r>
        <w:lastRenderedPageBreak/>
        <w:t>Justice William O. Douglas delivered the majority opinion of 5-4. In the opinion, the supreme court ruled that the threat placed against the respondent of losing their jobs and subsequent loss of livelihood put them in a compromising situation of choosing self-incrimination. At such a point when a person is required to choose between two things that are so important in their lives, a person is placed in a position where they cannot make rational decisions. It is important for an individual to be given the freedom of choice and not being coerced to make statements that appeal to the prosecutor or the state. In the ruling, the court declared the New Jersey State statute is unconstitutional citing that it denies individuals their constitutional rights. The judge further made a statement that the same laws protect state officers such as teachers, police officers and lawyers just like ordinary citizens. The threat of the loss of a job also violated the Fifth Amendment of the constitution.</w:t>
      </w:r>
    </w:p>
    <w:p w:rsidR="00CB3CDF" w:rsidRPr="00CB3CDF" w:rsidRDefault="00CB3CDF" w:rsidP="00CB3CDF">
      <w:pPr>
        <w:spacing w:line="480" w:lineRule="auto"/>
        <w:rPr>
          <w:b/>
        </w:rPr>
      </w:pPr>
      <w:r w:rsidRPr="00CB3CDF">
        <w:rPr>
          <w:b/>
        </w:rPr>
        <w:t>Dissenting Opinion</w:t>
      </w:r>
    </w:p>
    <w:p w:rsidR="00CB3CDF" w:rsidRDefault="00CB3CDF" w:rsidP="00CB3CDF">
      <w:pPr>
        <w:spacing w:line="480" w:lineRule="auto"/>
        <w:ind w:firstLine="720"/>
      </w:pPr>
      <w:r>
        <w:t>The dissenting opinion was written by Justice Byron R. White arguing that each case should be treated independently based on facts. The opinion argued that the existing rule on coercion was inflexible and could be bent to appeal to the interests of the people in question. The judge argued that the state has a valid reason in ensuring that its officers maintain high integrity and that the Fifth Amendment should not be used to protect state officers from being discharged due to integrity issues. The other dissenting opinion by Justice John M. Harlan argued that there was no evidence that the officers were coerced to make statements. The fact that the officers were informed of their rights before questioning meant that the statements were admissible. The judge further argued that it is permissible for any state to establish standards of conduct for its staff even if it threatens their employment.</w:t>
      </w:r>
    </w:p>
    <w:p w:rsidR="00CB3CDF" w:rsidRPr="00CB3CDF" w:rsidRDefault="00CB3CDF" w:rsidP="00CB3CDF"/>
    <w:sectPr w:rsidR="00CB3CDF" w:rsidRPr="00CB3CDF" w:rsidSect="00CB3CD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1E3" w:rsidRDefault="005C71E3" w:rsidP="00CB3CDF">
      <w:pPr>
        <w:spacing w:after="0" w:line="240" w:lineRule="auto"/>
      </w:pPr>
      <w:r>
        <w:separator/>
      </w:r>
    </w:p>
  </w:endnote>
  <w:endnote w:type="continuationSeparator" w:id="0">
    <w:p w:rsidR="005C71E3" w:rsidRDefault="005C71E3" w:rsidP="00CB3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F82" w:rsidRDefault="003F5F8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F82" w:rsidRDefault="003F5F8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F82" w:rsidRDefault="003F5F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1E3" w:rsidRDefault="005C71E3" w:rsidP="00CB3CDF">
      <w:pPr>
        <w:spacing w:after="0" w:line="240" w:lineRule="auto"/>
      </w:pPr>
      <w:r>
        <w:separator/>
      </w:r>
    </w:p>
  </w:footnote>
  <w:footnote w:type="continuationSeparator" w:id="0">
    <w:p w:rsidR="005C71E3" w:rsidRDefault="005C71E3" w:rsidP="00CB3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F82" w:rsidRDefault="003F5F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DF" w:rsidRDefault="00CB3CDF">
    <w:pPr>
      <w:pStyle w:val="Header"/>
      <w:jc w:val="right"/>
    </w:pPr>
    <w:r w:rsidRPr="00CB3CDF">
      <w:t>LEGAL CASE BRIEF</w:t>
    </w:r>
    <w:r>
      <w:t xml:space="preserve"> </w:t>
    </w:r>
    <w:r>
      <w:tab/>
    </w:r>
    <w:r>
      <w:tab/>
    </w:r>
    <w:sdt>
      <w:sdtPr>
        <w:id w:val="-14170806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5F82">
          <w:rPr>
            <w:noProof/>
          </w:rPr>
          <w:t>4</w:t>
        </w:r>
        <w:r>
          <w:rPr>
            <w:noProof/>
          </w:rPr>
          <w:fldChar w:fldCharType="end"/>
        </w:r>
      </w:sdtContent>
    </w:sdt>
  </w:p>
  <w:p w:rsidR="00CB3CDF" w:rsidRDefault="00CB3C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CDF" w:rsidRDefault="00CB3CDF">
    <w:pPr>
      <w:pStyle w:val="Header"/>
      <w:jc w:val="right"/>
    </w:pPr>
    <w:r>
      <w:t xml:space="preserve">Running head: </w:t>
    </w:r>
    <w:r w:rsidRPr="00CB3CDF">
      <w:t>LEGAL CASE BRIEF</w:t>
    </w:r>
    <w:r>
      <w:t xml:space="preserve"> </w:t>
    </w:r>
    <w:r>
      <w:tab/>
    </w:r>
    <w:r>
      <w:tab/>
    </w:r>
    <w:sdt>
      <w:sdtPr>
        <w:id w:val="-134406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5F82">
          <w:rPr>
            <w:noProof/>
          </w:rPr>
          <w:t>1</w:t>
        </w:r>
        <w:r>
          <w:rPr>
            <w:noProof/>
          </w:rPr>
          <w:fldChar w:fldCharType="end"/>
        </w:r>
      </w:sdtContent>
    </w:sdt>
  </w:p>
  <w:p w:rsidR="00CB3CDF" w:rsidRDefault="00CB3C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0BC"/>
    <w:rsid w:val="0002657A"/>
    <w:rsid w:val="001D03F7"/>
    <w:rsid w:val="002C1B0D"/>
    <w:rsid w:val="002D4230"/>
    <w:rsid w:val="003F5F82"/>
    <w:rsid w:val="005972C0"/>
    <w:rsid w:val="005C71E3"/>
    <w:rsid w:val="006C4FA8"/>
    <w:rsid w:val="007F640B"/>
    <w:rsid w:val="0087768A"/>
    <w:rsid w:val="00B71E75"/>
    <w:rsid w:val="00BB4554"/>
    <w:rsid w:val="00CB3CDF"/>
    <w:rsid w:val="00F07E67"/>
    <w:rsid w:val="00F12836"/>
    <w:rsid w:val="00F50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CDF"/>
  </w:style>
  <w:style w:type="paragraph" w:styleId="Footer">
    <w:name w:val="footer"/>
    <w:basedOn w:val="Normal"/>
    <w:link w:val="FooterChar"/>
    <w:uiPriority w:val="99"/>
    <w:unhideWhenUsed/>
    <w:rsid w:val="00CB3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C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3CDF"/>
  </w:style>
  <w:style w:type="paragraph" w:styleId="Footer">
    <w:name w:val="footer"/>
    <w:basedOn w:val="Normal"/>
    <w:link w:val="FooterChar"/>
    <w:uiPriority w:val="99"/>
    <w:unhideWhenUsed/>
    <w:rsid w:val="00CB3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3C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4555</Characters>
  <Application>Microsoft Office Word</Application>
  <DocSecurity>0</DocSecurity>
  <Lines>37</Lines>
  <Paragraphs>10</Paragraphs>
  <ScaleCrop>false</ScaleCrop>
  <LinksUpToDate>false</LinksUpToDate>
  <CharactersWithSpaces>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2018-09-19T16:21:00Z</dcterms:created>
  <dcterms:modified xsi:type="dcterms:W3CDTF">2018-09-19T16:21:00Z</dcterms:modified>
</cp:coreProperties>
</file>